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13E77F">
      <w:pPr>
        <w:spacing w:after="0" w:line="240" w:lineRule="auto"/>
        <w:jc w:val="center"/>
        <w:rPr>
          <w:rFonts w:hint="default" w:ascii="Calibri" w:hAnsi="Calibri" w:cs="Calibri"/>
          <w14:ligatures w14:val="none"/>
        </w:rPr>
      </w:pPr>
      <w:r>
        <w:rPr>
          <w:rFonts w:hint="default" w:ascii="Calibri" w:hAnsi="Calibri" w:cs="Calibri"/>
          <w14:ligatures w14:val="none"/>
        </w:rPr>
        <w:t>Briefing</w:t>
      </w:r>
      <w:r>
        <w:rPr>
          <w:rFonts w:hint="default" w:ascii="Calibri" w:hAnsi="Calibri" w:cs="Calibri"/>
          <w:lang w:val="en-US" w:eastAsia="zh-CN"/>
          <w14:ligatures w14:val="none"/>
        </w:rPr>
        <w:t xml:space="preserve"> of </w:t>
      </w:r>
      <w:r>
        <w:rPr>
          <w:rFonts w:hint="default" w:ascii="Calibri" w:hAnsi="Calibri" w:cs="Calibri"/>
          <w14:ligatures w14:val="none"/>
        </w:rPr>
        <w:t>SITC 2026 Interim Results Investor Conference</w:t>
      </w:r>
    </w:p>
    <w:p w14:paraId="4F6481DE">
      <w:pPr>
        <w:spacing w:after="0" w:line="240" w:lineRule="auto"/>
        <w:jc w:val="center"/>
        <w:rPr>
          <w:rFonts w:hint="default" w:ascii="Calibri" w:hAnsi="Calibri" w:cs="Calibri"/>
          <w14:ligatures w14:val="none"/>
        </w:rPr>
      </w:pPr>
    </w:p>
    <w:p w14:paraId="542AF9E4">
      <w:pPr>
        <w:spacing w:after="0" w:line="240" w:lineRule="auto"/>
        <w:rPr>
          <w:rFonts w:hint="default" w:ascii="Calibri" w:hAnsi="Calibri" w:cs="Calibri"/>
          <w14:ligatures w14:val="none"/>
        </w:rPr>
      </w:pPr>
      <w:r>
        <w:rPr>
          <w:rFonts w:hint="eastAsia" w:ascii="Calibri" w:hAnsi="Calibri" w:cs="Calibri"/>
          <w:lang w:val="en-US" w:eastAsia="zh-CN"/>
          <w14:ligatures w14:val="none"/>
        </w:rPr>
        <w:t>Date</w:t>
      </w:r>
      <w:r>
        <w:rPr>
          <w:rFonts w:hint="default" w:ascii="Calibri" w:hAnsi="Calibri" w:cs="Calibri"/>
          <w14:ligatures w14:val="none"/>
        </w:rPr>
        <w:t>: 19 August 2026</w:t>
      </w:r>
    </w:p>
    <w:p w14:paraId="5DD7036E">
      <w:pPr>
        <w:spacing w:after="0" w:line="240" w:lineRule="auto"/>
        <w:rPr>
          <w:rFonts w:hint="eastAsia" w:ascii="Calibri" w:hAnsi="Calibri" w:cs="Calibri" w:eastAsiaTheme="minorEastAsia"/>
          <w:lang w:val="en-US" w:eastAsia="zh-CN"/>
          <w14:ligatures w14:val="none"/>
        </w:rPr>
      </w:pPr>
      <w:r>
        <w:rPr>
          <w:rFonts w:hint="eastAsia" w:ascii="Calibri" w:hAnsi="Calibri" w:cs="Calibri"/>
          <w:lang w:val="en-US" w:eastAsia="zh-CN"/>
          <w14:ligatures w14:val="none"/>
        </w:rPr>
        <w:t xml:space="preserve">Time: </w:t>
      </w:r>
      <w:r>
        <w:rPr>
          <w:rFonts w:hint="default" w:ascii="Calibri" w:hAnsi="Calibri" w:cs="Calibri"/>
          <w14:ligatures w14:val="none"/>
        </w:rPr>
        <w:t>4:30pm</w:t>
      </w:r>
      <w:r>
        <w:rPr>
          <w:rFonts w:hint="eastAsia" w:ascii="Calibri" w:hAnsi="Calibri" w:cs="Calibri"/>
          <w:lang w:val="en-US" w:eastAsia="zh-CN"/>
          <w14:ligatures w14:val="none"/>
        </w:rPr>
        <w:t xml:space="preserve"> (</w:t>
      </w:r>
      <w:r>
        <w:rPr>
          <w:rFonts w:hint="default" w:ascii="Calibri" w:hAnsi="Calibri" w:cs="Calibri"/>
          <w14:ligatures w14:val="none"/>
        </w:rPr>
        <w:t>HKT</w:t>
      </w:r>
      <w:r>
        <w:rPr>
          <w:rFonts w:hint="eastAsia" w:ascii="Calibri" w:hAnsi="Calibri" w:cs="Calibri"/>
          <w:lang w:val="en-US" w:eastAsia="zh-CN"/>
          <w14:ligatures w14:val="none"/>
        </w:rPr>
        <w:t>)</w:t>
      </w:r>
    </w:p>
    <w:p w14:paraId="1CAB6E60">
      <w:pPr>
        <w:spacing w:after="0" w:line="240" w:lineRule="auto"/>
        <w:rPr>
          <w:rFonts w:hint="default" w:ascii="Calibri" w:hAnsi="Calibri" w:cs="Calibri"/>
          <w14:ligatures w14:val="none"/>
        </w:rPr>
      </w:pPr>
      <w:r>
        <w:rPr>
          <w:rFonts w:hint="default" w:ascii="Calibri" w:hAnsi="Calibri" w:cs="Calibri"/>
          <w14:ligatures w14:val="none"/>
        </w:rPr>
        <w:t>Meeting format: On-site + Tencent Video conference and teleconference</w:t>
      </w:r>
    </w:p>
    <w:p w14:paraId="1CE188AB">
      <w:pPr>
        <w:spacing w:after="0" w:line="240" w:lineRule="auto"/>
        <w:rPr>
          <w:rFonts w:hint="default" w:ascii="Calibri" w:hAnsi="Calibri" w:cs="Calibri"/>
          <w14:ligatures w14:val="none"/>
        </w:rPr>
      </w:pPr>
      <w:r>
        <w:rPr>
          <w:rFonts w:hint="eastAsia" w:ascii="Calibri" w:hAnsi="Calibri" w:cs="Calibri"/>
          <w14:ligatures w14:val="none"/>
        </w:rPr>
        <w:t>Senior management present:</w:t>
      </w:r>
    </w:p>
    <w:p w14:paraId="641FBB8C">
      <w:pPr>
        <w:spacing w:after="0" w:line="240" w:lineRule="auto"/>
        <w:ind w:firstLine="1260" w:firstLineChars="600"/>
        <w:rPr>
          <w:rFonts w:hint="eastAsia" w:ascii="Calibri" w:hAnsi="Calibri" w:cs="Calibri"/>
          <w14:ligatures w14:val="none"/>
        </w:rPr>
      </w:pPr>
      <w:r>
        <w:rPr>
          <w:rFonts w:hint="eastAsia" w:ascii="Calibri" w:hAnsi="Calibri" w:cs="Calibri"/>
          <w14:ligatures w14:val="none"/>
        </w:rPr>
        <w:t xml:space="preserve">Chairman and Executive Director </w:t>
      </w:r>
      <w:r>
        <w:rPr>
          <w:rFonts w:hint="eastAsia" w:ascii="Calibri" w:hAnsi="Calibri" w:cs="Calibri"/>
          <w:lang w:val="en-US" w:eastAsia="zh-CN"/>
          <w14:ligatures w14:val="none"/>
        </w:rPr>
        <w:t xml:space="preserve">                   </w:t>
      </w:r>
      <w:r>
        <w:rPr>
          <w:rFonts w:hint="eastAsia" w:ascii="Calibri" w:hAnsi="Calibri" w:cs="Calibri"/>
          <w14:ligatures w14:val="none"/>
        </w:rPr>
        <w:t>Yang Xianxiang</w:t>
      </w:r>
    </w:p>
    <w:p w14:paraId="332EA33C">
      <w:pPr>
        <w:spacing w:after="0" w:line="240" w:lineRule="auto"/>
        <w:ind w:firstLine="1260" w:firstLineChars="600"/>
        <w:rPr>
          <w:rFonts w:hint="eastAsia" w:ascii="Calibri" w:hAnsi="Calibri" w:cs="Calibri"/>
          <w14:ligatures w14:val="none"/>
        </w:rPr>
      </w:pPr>
      <w:r>
        <w:rPr>
          <w:rFonts w:hint="default" w:ascii="Calibri" w:hAnsi="Calibri" w:cs="Calibri"/>
          <w14:ligatures w14:val="none"/>
        </w:rPr>
        <w:t>Vice Chairman and Non-executive Director</w:t>
      </w:r>
      <w:r>
        <w:rPr>
          <w:rFonts w:hint="eastAsia" w:ascii="Calibri" w:hAnsi="Calibri" w:cs="Calibri"/>
          <w:lang w:val="en-US" w:eastAsia="zh-CN"/>
          <w14:ligatures w14:val="none"/>
        </w:rPr>
        <w:t xml:space="preserve">            </w:t>
      </w:r>
      <w:r>
        <w:rPr>
          <w:rFonts w:hint="default" w:ascii="Calibri" w:hAnsi="Calibri" w:cs="Calibri"/>
          <w14:ligatures w14:val="none"/>
        </w:rPr>
        <w:t>Yang Xin</w:t>
      </w:r>
    </w:p>
    <w:p w14:paraId="48E06B21">
      <w:pPr>
        <w:spacing w:after="0" w:line="240" w:lineRule="auto"/>
        <w:ind w:firstLine="1260" w:firstLineChars="600"/>
        <w:rPr>
          <w:rFonts w:hint="eastAsia" w:ascii="Calibri" w:hAnsi="Calibri" w:cs="Calibri"/>
          <w14:ligatures w14:val="none"/>
        </w:rPr>
      </w:pPr>
      <w:r>
        <w:rPr>
          <w:rFonts w:hint="eastAsia" w:ascii="Calibri" w:hAnsi="Calibri" w:cs="Calibri"/>
          <w14:ligatures w14:val="none"/>
        </w:rPr>
        <w:t xml:space="preserve">CEO and Executive Director </w:t>
      </w:r>
      <w:r>
        <w:rPr>
          <w:rFonts w:hint="eastAsia" w:ascii="Calibri" w:hAnsi="Calibri" w:cs="Calibri"/>
          <w:lang w:val="en-US" w:eastAsia="zh-CN"/>
          <w14:ligatures w14:val="none"/>
        </w:rPr>
        <w:t xml:space="preserve">                        </w:t>
      </w:r>
      <w:r>
        <w:rPr>
          <w:rFonts w:hint="eastAsia" w:ascii="Calibri" w:hAnsi="Calibri" w:cs="Calibri"/>
          <w14:ligatures w14:val="none"/>
        </w:rPr>
        <w:t>Xue Mingyuan</w:t>
      </w:r>
    </w:p>
    <w:p w14:paraId="17D561A9">
      <w:pPr>
        <w:spacing w:after="0" w:line="240" w:lineRule="auto"/>
        <w:ind w:firstLine="1260" w:firstLineChars="600"/>
        <w:rPr>
          <w:rFonts w:hint="eastAsia" w:ascii="Calibri" w:hAnsi="Calibri" w:cs="Calibri"/>
          <w14:ligatures w14:val="none"/>
        </w:rPr>
      </w:pPr>
      <w:r>
        <w:rPr>
          <w:rFonts w:hint="eastAsia" w:ascii="Calibri" w:hAnsi="Calibri" w:cs="Calibri"/>
          <w14:ligatures w14:val="none"/>
        </w:rPr>
        <w:t xml:space="preserve">Executive Director and General Manager of </w:t>
      </w:r>
      <w:r>
        <w:rPr>
          <w:rFonts w:hint="eastAsia" w:ascii="Calibri" w:hAnsi="Calibri" w:cs="Calibri"/>
          <w:lang w:val="en-US" w:eastAsia="zh-CN"/>
          <w14:ligatures w14:val="none"/>
        </w:rPr>
        <w:t xml:space="preserve">           </w:t>
      </w:r>
      <w:r>
        <w:rPr>
          <w:rFonts w:hint="eastAsia" w:ascii="Calibri" w:hAnsi="Calibri" w:cs="Calibri"/>
          <w14:ligatures w14:val="none"/>
        </w:rPr>
        <w:t>Liu Kecheng</w:t>
      </w:r>
    </w:p>
    <w:p w14:paraId="493DBA38">
      <w:pPr>
        <w:spacing w:after="0" w:line="240" w:lineRule="auto"/>
        <w:ind w:firstLine="1260" w:firstLineChars="600"/>
        <w:rPr>
          <w:rFonts w:hint="eastAsia" w:ascii="Calibri" w:hAnsi="Calibri" w:cs="Calibri"/>
          <w14:ligatures w14:val="none"/>
        </w:rPr>
      </w:pPr>
      <w:r>
        <w:rPr>
          <w:rFonts w:hint="eastAsia" w:ascii="Calibri" w:hAnsi="Calibri" w:cs="Calibri"/>
          <w14:ligatures w14:val="none"/>
        </w:rPr>
        <w:t>Finance Center and Investment Center</w:t>
      </w:r>
    </w:p>
    <w:p w14:paraId="647DE16F">
      <w:pPr>
        <w:spacing w:after="0" w:line="240" w:lineRule="auto"/>
        <w:ind w:firstLine="1260" w:firstLineChars="600"/>
        <w:rPr>
          <w:rFonts w:hint="eastAsia" w:ascii="Calibri" w:hAnsi="Calibri" w:cs="Calibri"/>
          <w14:ligatures w14:val="none"/>
        </w:rPr>
      </w:pPr>
      <w:r>
        <w:rPr>
          <w:rFonts w:hint="eastAsia" w:ascii="Calibri" w:hAnsi="Calibri" w:cs="Calibri"/>
          <w14:ligatures w14:val="none"/>
        </w:rPr>
        <w:t>Board Secretary and General Manager</w:t>
      </w:r>
      <w:r>
        <w:rPr>
          <w:rFonts w:hint="eastAsia" w:ascii="Calibri" w:hAnsi="Calibri" w:cs="Calibri"/>
          <w:lang w:val="en-US" w:eastAsia="zh-CN"/>
          <w14:ligatures w14:val="none"/>
        </w:rPr>
        <w:t xml:space="preserve"> </w:t>
      </w:r>
      <w:r>
        <w:rPr>
          <w:rFonts w:hint="eastAsia" w:ascii="Calibri" w:hAnsi="Calibri" w:cs="Calibri"/>
          <w14:ligatures w14:val="none"/>
        </w:rPr>
        <w:t>of</w:t>
      </w:r>
      <w:r>
        <w:rPr>
          <w:rFonts w:hint="eastAsia" w:ascii="Calibri" w:hAnsi="Calibri" w:cs="Calibri"/>
          <w:lang w:val="en-US" w:eastAsia="zh-CN"/>
          <w14:ligatures w14:val="none"/>
        </w:rPr>
        <w:t xml:space="preserve">              </w:t>
      </w:r>
      <w:r>
        <w:rPr>
          <w:rFonts w:hint="eastAsia" w:ascii="Calibri" w:hAnsi="Calibri" w:cs="Calibri"/>
          <w14:ligatures w14:val="none"/>
        </w:rPr>
        <w:t>Xue Peng</w:t>
      </w:r>
    </w:p>
    <w:p w14:paraId="72476BE6">
      <w:pPr>
        <w:spacing w:after="0" w:line="240" w:lineRule="auto"/>
        <w:ind w:firstLine="1260" w:firstLineChars="600"/>
        <w:rPr>
          <w:rFonts w:hint="eastAsia" w:ascii="Calibri" w:hAnsi="Calibri" w:cs="Calibri"/>
          <w14:ligatures w14:val="none"/>
        </w:rPr>
      </w:pPr>
      <w:r>
        <w:rPr>
          <w:rFonts w:hint="eastAsia" w:ascii="Calibri" w:hAnsi="Calibri" w:cs="Calibri"/>
          <w14:ligatures w14:val="none"/>
        </w:rPr>
        <w:t>Operation Management Center</w:t>
      </w:r>
      <w:bookmarkStart w:id="1" w:name="_GoBack"/>
      <w:bookmarkEnd w:id="1"/>
    </w:p>
    <w:p w14:paraId="38F9F0D4">
      <w:pPr>
        <w:spacing w:after="0" w:line="240" w:lineRule="auto"/>
        <w:rPr>
          <w:rFonts w:hint="default" w:ascii="Calibri" w:hAnsi="Calibri" w:cs="Calibri"/>
          <w14:ligatures w14:val="none"/>
        </w:rPr>
      </w:pPr>
    </w:p>
    <w:p w14:paraId="193C8B9C">
      <w:pPr>
        <w:rPr>
          <w:rFonts w:hint="default" w:ascii="Calibri" w:hAnsi="Calibri" w:cs="Calibri"/>
        </w:rPr>
      </w:pPr>
    </w:p>
    <w:p w14:paraId="2968D5A4">
      <w:pPr>
        <w:rPr>
          <w:rFonts w:hint="default" w:ascii="Calibri" w:hAnsi="Calibri" w:cs="Calibri"/>
        </w:rPr>
      </w:pPr>
      <w:r>
        <w:rPr>
          <w:rFonts w:hint="eastAsia" w:ascii="Calibri" w:hAnsi="Calibri" w:cs="Calibri"/>
        </w:rPr>
        <w:t>Senior management made a review on company development, operation results and financial metrics for</w:t>
      </w:r>
      <w:r>
        <w:rPr>
          <w:rFonts w:hint="default" w:ascii="Calibri" w:hAnsi="Calibri" w:cs="Calibri"/>
        </w:rPr>
        <w:t xml:space="preserve"> the first half of 2026</w:t>
      </w:r>
      <w:r>
        <w:rPr>
          <w:rFonts w:hint="eastAsia" w:ascii="Calibri" w:hAnsi="Calibri" w:cs="Calibri"/>
        </w:rPr>
        <w:t xml:space="preserve"> (Refer to PPT as attached). And then a Q&amp;A section was entered.</w:t>
      </w:r>
      <w:r>
        <w:rPr>
          <w:rFonts w:hint="eastAsia" w:ascii="Calibri" w:hAnsi="Calibri" w:cs="Calibri"/>
          <w:lang w:val="en-US" w:eastAsia="zh-CN"/>
        </w:rPr>
        <w:t xml:space="preserve"> </w:t>
      </w:r>
      <w:r>
        <w:rPr>
          <w:rFonts w:hint="eastAsia" w:ascii="Calibri" w:hAnsi="Calibri" w:cs="Calibri"/>
        </w:rPr>
        <w:t>Below are the questions raised by analysts and investors, along with responses from management:</w:t>
      </w:r>
    </w:p>
    <w:p w14:paraId="61D83313">
      <w:pPr>
        <w:rPr>
          <w:rFonts w:hint="default" w:ascii="Calibri" w:hAnsi="Calibri" w:cs="Calibri"/>
        </w:rPr>
      </w:pPr>
    </w:p>
    <w:p w14:paraId="5B4793C1">
      <w:pPr>
        <w:rPr>
          <w:rFonts w:hint="default" w:ascii="Calibri" w:hAnsi="Calibri" w:cs="Calibri"/>
        </w:rPr>
      </w:pPr>
      <w:r>
        <w:rPr>
          <w:rFonts w:hint="default" w:ascii="Calibri" w:hAnsi="Calibri" w:cs="Calibri"/>
        </w:rPr>
        <w:t>Q1: (Huatai Securities, Lin Shan) Hello, management. This is Lin Shan from Huatai Securities. I have two questions. The first is about dividends. As Mr. Liu just mentioned, the payout ratio for the first half was actually higher than the normal level of previous years, so may I ask about the company's dividend guidance for the full year of 2026? The second question: since SITC has quite a lot of new vessel deliveries over the next few years, could you walk us through the number of new vessel deliveries each year and the roughly corresponding capital expenditure? Taking into account new vessel deliveries and changes in chartered tonnage, as well as the potential withdrawal of older vessels, what would be the approximate annual growth in our fleet capacity over the next 3-5 years?</w:t>
      </w:r>
    </w:p>
    <w:p w14:paraId="5CD6B87E">
      <w:pPr>
        <w:rPr>
          <w:rFonts w:hint="default" w:ascii="Calibri" w:hAnsi="Calibri" w:cs="Calibri"/>
        </w:rPr>
      </w:pPr>
      <w:r>
        <w:rPr>
          <w:rFonts w:hint="default" w:ascii="Calibri" w:hAnsi="Calibri" w:cs="Calibri"/>
          <w:lang w:val="en-US" w:eastAsia="zh-CN"/>
        </w:rPr>
        <w:t>A: (Chairman</w:t>
      </w:r>
      <w:r>
        <w:rPr>
          <w:rFonts w:hint="eastAsia" w:ascii="Calibri" w:hAnsi="Calibri" w:cs="Calibri"/>
          <w:lang w:val="en-US" w:eastAsia="zh-CN"/>
        </w:rPr>
        <w:t xml:space="preserve">, </w:t>
      </w:r>
      <w:r>
        <w:rPr>
          <w:rFonts w:hint="default" w:ascii="Calibri" w:hAnsi="Calibri" w:cs="Calibri"/>
          <w:lang w:val="en-US" w:eastAsia="zh-CN"/>
        </w:rPr>
        <w:t>Yang Xianxiang) Thank you, Lin Shan - you are always the first to speak; thank you for your support. On dividends, as our CFO just explained, capital expenditure in the second half of this year is limited, and in fact full-year capex is not large either, so at the half-year mark both the dividend amount and the payout ratio have increased. Looking at the full year, the picture should be relatively optimistic, because there are not that many capital expenditure projects. If second-half profits are in line with a normal year - and the second half is usually better than the first - then this year's full-year dividend should be quite considerable. That is all we can say for now; how the second half actually turns out will become clear by year-end.</w:t>
      </w:r>
    </w:p>
    <w:p w14:paraId="652FB214">
      <w:pPr>
        <w:rPr>
          <w:rFonts w:hint="default" w:ascii="Calibri" w:hAnsi="Calibri" w:cs="Calibri"/>
        </w:rPr>
      </w:pPr>
      <w:r>
        <w:rPr>
          <w:rFonts w:hint="default" w:ascii="Calibri" w:hAnsi="Calibri" w:cs="Calibri"/>
          <w:lang w:val="en-US" w:eastAsia="zh-CN"/>
        </w:rPr>
        <w:t>A: (Board Secretary</w:t>
      </w:r>
      <w:r>
        <w:rPr>
          <w:rFonts w:hint="eastAsia" w:ascii="Calibri" w:hAnsi="Calibri" w:cs="Calibri"/>
          <w:lang w:val="en-US" w:eastAsia="zh-CN"/>
        </w:rPr>
        <w:t>,</w:t>
      </w:r>
      <w:r>
        <w:rPr>
          <w:rFonts w:hint="default" w:ascii="Calibri" w:hAnsi="Calibri" w:cs="Calibri"/>
          <w:lang w:val="en-US" w:eastAsia="zh-CN"/>
        </w:rPr>
        <w:t xml:space="preserve"> Xue Peng) Thank you, Lin Shan. Let me walk you through our vessel delivery schedule. Two more vessels will be delivered in the second half of this year - in fact, one was already delivered in August. On the capital expenditure side, the full-year figure is expected to be around US$250 million, which of course includes planned spending on land-based assets and containers. Next year we plan to deliver 11 vessels, with total capex of roughly US$425 million, which also includes construction-related capex for vessels to be delivered in the future. In 2028, 13 vessels are scheduled for delivery, with capex for that year of about US$300 million. The remaining six vessels will be delivered in 2029.</w:t>
      </w:r>
    </w:p>
    <w:p w14:paraId="26FDE611">
      <w:pPr>
        <w:rPr>
          <w:rFonts w:hint="default" w:ascii="Calibri" w:hAnsi="Calibri" w:cs="Calibri"/>
        </w:rPr>
      </w:pPr>
    </w:p>
    <w:p w14:paraId="018CE4C9">
      <w:pPr>
        <w:rPr>
          <w:rFonts w:hint="default" w:ascii="Calibri" w:hAnsi="Calibri" w:cs="Calibri"/>
        </w:rPr>
      </w:pPr>
      <w:r>
        <w:rPr>
          <w:rFonts w:hint="default" w:ascii="Calibri" w:hAnsi="Calibri" w:cs="Calibri"/>
        </w:rPr>
        <w:t>Q2: (HSBC, Bruce Zhu) Thank you, management. This is Bruce from HSBC. Congratulations on a very impressive set of first-half results, and on the company's market capitalization surpassing RMB100 billion. My questions concern capacity and volume growth. First, we noted that capacity did not increase noticeably in the first half, yet you still delivered close to 8% volume growth. What were the main drivers behind that? In addition, weekly port calls and the number of services have declined compared with the same period last year - what is the reason for that?</w:t>
      </w:r>
    </w:p>
    <w:p w14:paraId="58837ADF">
      <w:pPr>
        <w:rPr>
          <w:rFonts w:hint="default" w:ascii="Calibri" w:hAnsi="Calibri" w:cs="Calibri"/>
        </w:rPr>
      </w:pPr>
      <w:r>
        <w:rPr>
          <w:rFonts w:hint="default" w:ascii="Calibri" w:hAnsi="Calibri" w:cs="Calibri"/>
          <w:lang w:val="en-US" w:eastAsia="zh-CN"/>
        </w:rPr>
        <w:t>A: (CEO</w:t>
      </w:r>
      <w:r>
        <w:rPr>
          <w:rFonts w:hint="eastAsia" w:ascii="Calibri" w:hAnsi="Calibri" w:cs="Calibri"/>
          <w:lang w:val="en-US" w:eastAsia="zh-CN"/>
        </w:rPr>
        <w:t>,</w:t>
      </w:r>
      <w:r>
        <w:rPr>
          <w:rFonts w:hint="default" w:ascii="Calibri" w:hAnsi="Calibri" w:cs="Calibri"/>
          <w:lang w:val="en-US" w:eastAsia="zh-CN"/>
        </w:rPr>
        <w:t xml:space="preserve"> Xue Mingyuan) Thank you, Bruce. As everyone has seen, our actual capacity this year was broadly flat versus last year - slightly lower, in fact - yet volumes still grew by 7.8%. There are two reasons for this. The first is that last year we optimized a number of our services; by adjusting and optimizing our routings, we raised our cargo-carrying capability. This is the primary driver and accounts for the larger share. The second is that we improved the utilization of some currently idle slot capacity. In other words, slots on China's export legs are basically full, but some slots on China-bound import legs are not, and we have raised the utilization of those slots. These two factors - essentially gains in internal operating efficiency - are the main reasons for this year's volume growth. As for the decline in port calls, there are also two reasons. One is that last year we restructured some services: we terminated several jointly operated services and converted them to independent operation. A distinctive feature of SITC is maintaining the ability to operate our services independently, so that is one reason. The other is that port congestion this year is even worse than last year - for example in Shanghai, and in the Philippines as well, where congestion has been fairly severe - which has also contributed to the reduction in port calls.</w:t>
      </w:r>
    </w:p>
    <w:p w14:paraId="67A053EB">
      <w:pPr>
        <w:rPr>
          <w:rFonts w:hint="default" w:ascii="Calibri" w:hAnsi="Calibri" w:cs="Calibri"/>
        </w:rPr>
      </w:pPr>
    </w:p>
    <w:p w14:paraId="46FC8CFC">
      <w:pPr>
        <w:rPr>
          <w:rFonts w:hint="default" w:ascii="Calibri" w:hAnsi="Calibri" w:cs="Calibri"/>
        </w:rPr>
      </w:pPr>
      <w:r>
        <w:rPr>
          <w:rFonts w:hint="default" w:ascii="Calibri" w:hAnsi="Calibri" w:cs="Calibri"/>
        </w:rPr>
        <w:t>Q3: (</w:t>
      </w:r>
      <w:r>
        <w:rPr>
          <w:rFonts w:hint="eastAsia" w:ascii="Calibri" w:hAnsi="Calibri" w:cs="Calibri"/>
          <w:lang w:val="en-US" w:eastAsia="zh-CN"/>
        </w:rPr>
        <w:t xml:space="preserve">Foresight </w:t>
      </w:r>
      <w:r>
        <w:rPr>
          <w:rFonts w:hint="default" w:ascii="Calibri" w:hAnsi="Calibri" w:cs="Calibri"/>
        </w:rPr>
        <w:t xml:space="preserve">Fund, Zhou Yijing) This is Zhou Yijing from </w:t>
      </w:r>
      <w:r>
        <w:rPr>
          <w:rFonts w:hint="eastAsia" w:ascii="Calibri" w:hAnsi="Calibri" w:cs="Calibri"/>
          <w:lang w:val="en-US" w:eastAsia="zh-CN"/>
        </w:rPr>
        <w:t xml:space="preserve">Foresight </w:t>
      </w:r>
      <w:r>
        <w:rPr>
          <w:rFonts w:hint="default" w:ascii="Calibri" w:hAnsi="Calibri" w:cs="Calibri"/>
        </w:rPr>
        <w:t>Fund. I would like to follow up on the port congestion that Mr. Xue just mentioned. At Maersk's results meeting a couple of days ago, they also said they believe the supply-chain bottleneck is shifting from the vessel segment to the landside segment, and that this bottleneck cannot be eliminated quickly. I think the logic they wanted to convey is that even though a great deal of new vessel capacity may be added over the next few years, constraints at nodes such as terminal infrastructure may keep the market in a state of prosperity amid volatility. How does management view this? Maersk's argument is made more from the perspective of global ports and terminals. As a follow-up, in the Asian markets where we are more focused and have greater exposure, what impact would terminal infrastructure conditions have on the market?</w:t>
      </w:r>
    </w:p>
    <w:p w14:paraId="6B5FFB55">
      <w:pPr>
        <w:rPr>
          <w:rFonts w:hint="default" w:ascii="Calibri" w:hAnsi="Calibri" w:cs="Calibri"/>
        </w:rPr>
      </w:pPr>
      <w:r>
        <w:rPr>
          <w:rFonts w:hint="default" w:ascii="Calibri" w:hAnsi="Calibri" w:cs="Calibri"/>
          <w:lang w:val="en-US" w:eastAsia="zh-CN"/>
        </w:rPr>
        <w:t>A: (CEO</w:t>
      </w:r>
      <w:r>
        <w:rPr>
          <w:rFonts w:hint="eastAsia" w:ascii="Calibri" w:hAnsi="Calibri" w:cs="Calibri"/>
          <w:lang w:val="en-US" w:eastAsia="zh-CN"/>
        </w:rPr>
        <w:t>,</w:t>
      </w:r>
      <w:r>
        <w:rPr>
          <w:rFonts w:hint="default" w:ascii="Calibri" w:hAnsi="Calibri" w:cs="Calibri"/>
          <w:lang w:val="en-US" w:eastAsia="zh-CN"/>
        </w:rPr>
        <w:t xml:space="preserve"> Xue Mingyuan) In fact, we have been talking about the terminal congestion bottleneck for several years, but it has not been resolved well. Terminal construction cycles are very long, while volume growth remains very strong - Shanghai and Ningbo, for instance, are already saturated. Without new terminal supply, volume growth simply cannot be accommodated. I believe terminals will certainly become a bottleneck, though perhaps not universally - not every terminal will be bottlenecked - but the situation is already quite visible at the major ports, especially the large ports in Asia. Our mainland Chinese ports are all among the world's top-ranked ports - Shanghai, Ningbo, Qingdao, and even Shenzhen have all experienced congestion. I think this situation may persist, and there is also climate uncertainty - typhoons have had a very big impact this year. In Southeast Asia, congestion in the Philippines is very severe; Malaysia has also seen relatively serious congestion this year, especially the smaller ports in East Malaysia, which have experienced very severe congestion. Indonesia used to be not particularly congested, but this year congestion there is very serious as well - Indonesian terminals cannot keep up with the growth in demand - and the same is happening in Thailand. So, on the terminal congestion bottleneck, I believe that if volumes continue to grow over the next few years, it cannot be solved simply by adding vessel capacity. This problem will definitely persist, and during seasonal peaks the congestion will be amplified even further.</w:t>
      </w:r>
    </w:p>
    <w:p w14:paraId="4BB9EF6A">
      <w:pPr>
        <w:rPr>
          <w:rFonts w:hint="default" w:ascii="Calibri" w:hAnsi="Calibri" w:cs="Calibri"/>
        </w:rPr>
      </w:pPr>
    </w:p>
    <w:p w14:paraId="1DE6DFCA">
      <w:pPr>
        <w:rPr>
          <w:rFonts w:hint="default" w:ascii="Calibri" w:hAnsi="Calibri" w:cs="Calibri"/>
        </w:rPr>
      </w:pPr>
      <w:r>
        <w:rPr>
          <w:rFonts w:hint="default" w:ascii="Calibri" w:hAnsi="Calibri" w:cs="Calibri"/>
        </w:rPr>
        <w:t xml:space="preserve">Q4: (China Securities Co., Han Jun) Hello, management. This is Han Jun from China Securities Co. I </w:t>
      </w:r>
      <w:r>
        <w:rPr>
          <w:rFonts w:hint="eastAsia" w:ascii="Calibri" w:hAnsi="Calibri" w:cs="Calibri"/>
          <w:lang w:val="en-US" w:eastAsia="zh-CN"/>
        </w:rPr>
        <w:t xml:space="preserve">am interested in </w:t>
      </w:r>
      <w:r>
        <w:rPr>
          <w:rFonts w:hint="default" w:ascii="Calibri" w:hAnsi="Calibri" w:cs="Calibri"/>
        </w:rPr>
        <w:t>India-Pakistan services, since that trade has been quite hot this year. With the Middle East affected, a lot of cargo is first loaded to India/Pakistan and then shuttled by smaller vessels on to regional markets in the Middle East. What is the current footprint of our India-Pakistan services and the scale of capacity deployed - roughly at what level? In addition, regarding future capital expenditure and vessel types - since most of our vessels today are below 2,000-3,000 TEU - will our fleet structure be upgraded going forward?</w:t>
      </w:r>
    </w:p>
    <w:p w14:paraId="7D063A81">
      <w:pPr>
        <w:rPr>
          <w:rFonts w:hint="default" w:ascii="Calibri" w:hAnsi="Calibri" w:cs="Calibri"/>
        </w:rPr>
      </w:pPr>
      <w:r>
        <w:rPr>
          <w:rFonts w:hint="default" w:ascii="Calibri" w:hAnsi="Calibri" w:cs="Calibri"/>
          <w:lang w:val="en-US" w:eastAsia="zh-CN"/>
        </w:rPr>
        <w:t>A: (Chairman</w:t>
      </w:r>
      <w:r>
        <w:rPr>
          <w:rFonts w:hint="eastAsia" w:ascii="Calibri" w:hAnsi="Calibri" w:cs="Calibri"/>
          <w:lang w:val="en-US" w:eastAsia="zh-CN"/>
        </w:rPr>
        <w:t>,</w:t>
      </w:r>
      <w:r>
        <w:rPr>
          <w:rFonts w:hint="default" w:ascii="Calibri" w:hAnsi="Calibri" w:cs="Calibri"/>
          <w:lang w:val="en-US" w:eastAsia="zh-CN"/>
        </w:rPr>
        <w:t xml:space="preserve"> Yang Xianxiang) We have not been much affected in India-Pakistan. On vessel types, we have no particular plan to move to larger vessel types - at least there is no such plan for now.</w:t>
      </w:r>
    </w:p>
    <w:p w14:paraId="4CFA4A4C">
      <w:pPr>
        <w:rPr>
          <w:rFonts w:hint="default" w:ascii="Calibri" w:hAnsi="Calibri" w:cs="Calibri"/>
        </w:rPr>
      </w:pPr>
      <w:r>
        <w:rPr>
          <w:rFonts w:hint="default" w:ascii="Calibri" w:hAnsi="Calibri" w:cs="Calibri"/>
          <w:lang w:val="en-US" w:eastAsia="zh-CN"/>
        </w:rPr>
        <w:t>A: (CEO</w:t>
      </w:r>
      <w:r>
        <w:rPr>
          <w:rFonts w:hint="eastAsia" w:ascii="Calibri" w:hAnsi="Calibri" w:cs="Calibri"/>
          <w:lang w:val="en-US" w:eastAsia="zh-CN"/>
        </w:rPr>
        <w:t>,</w:t>
      </w:r>
      <w:r>
        <w:rPr>
          <w:rFonts w:hint="default" w:ascii="Calibri" w:hAnsi="Calibri" w:cs="Calibri"/>
          <w:lang w:val="en-US" w:eastAsia="zh-CN"/>
        </w:rPr>
        <w:t xml:space="preserve"> Xue Mingyuan) Let me add a few words on the volume impact in India-Pakistan. In fact, Indian demand this year is quite good; the main impact is on the Persian Gulf side - not the Bay of Bengal - and is mainly reflected in West India. Route adjustments and capacity redeployments have had a greater impact on West India, and West India may in turn have had some indirect impact on East India, but overall the impact is not significant. On the whole, demand is still quite strong; although almost no new services have been added, demand keeps growing, so the Indian market has been very good this year. In fact, SITC's footprint in India is centered on the Bay of Bengal - East India, Bangladesh and Myanmar - which is our Bay of Bengal layout, and demand growth in that region has consistently been quite decent. But no new capacity has been added there either, because capacity has been relatively tight this year.</w:t>
      </w:r>
    </w:p>
    <w:p w14:paraId="3420B30E">
      <w:pPr>
        <w:rPr>
          <w:rFonts w:hint="default" w:ascii="Calibri" w:hAnsi="Calibri" w:cs="Calibri"/>
        </w:rPr>
      </w:pPr>
    </w:p>
    <w:p w14:paraId="42D73361">
      <w:pPr>
        <w:rPr>
          <w:rFonts w:hint="default" w:ascii="Calibri" w:hAnsi="Calibri" w:cs="Calibri"/>
        </w:rPr>
      </w:pPr>
      <w:r>
        <w:rPr>
          <w:rFonts w:hint="default" w:ascii="Calibri" w:hAnsi="Calibri" w:cs="Calibri"/>
        </w:rPr>
        <w:t>Q5: (CICC, Liu Gangxian) This is Liu Gangxian from CICC. Congratulations to the company on such strong results and on continuing the high dividend payout. I have two questions. The first concerns management's breakdown and outlook for demand. Looking at the world this year - on the US routes, for example, freight rates are still very strong, possibly affected by the new Section 301 tariffs with a degree of cargo front-loading, while the Europe routes are relatively weaker. From the perspective of the regions we operate in, our services, or the industries our downstream customers are in, are there any new trends or changes? And how do you see demand in the second half? Let me start with the first question. Thank you.</w:t>
      </w:r>
    </w:p>
    <w:p w14:paraId="4512CD4C">
      <w:pPr>
        <w:rPr>
          <w:rFonts w:hint="default" w:ascii="Calibri" w:hAnsi="Calibri" w:cs="Calibri"/>
        </w:rPr>
      </w:pPr>
      <w:r>
        <w:rPr>
          <w:rFonts w:hint="default" w:ascii="Calibri" w:hAnsi="Calibri" w:cs="Calibri"/>
          <w:lang w:val="en-US" w:eastAsia="zh-CN"/>
        </w:rPr>
        <w:t>A: (Chairman</w:t>
      </w:r>
      <w:r>
        <w:rPr>
          <w:rFonts w:hint="eastAsia" w:ascii="Calibri" w:hAnsi="Calibri" w:cs="Calibri"/>
          <w:lang w:val="en-US" w:eastAsia="zh-CN"/>
        </w:rPr>
        <w:t>,</w:t>
      </w:r>
      <w:r>
        <w:rPr>
          <w:rFonts w:hint="default" w:ascii="Calibri" w:hAnsi="Calibri" w:cs="Calibri"/>
          <w:lang w:val="en-US" w:eastAsia="zh-CN"/>
        </w:rPr>
        <w:t xml:space="preserve"> Yang Xianxiang) Gangxian, thank you for your support and attention. On the outlook, I cannot sum it up in one sentence, because there are now too many influencing factors - in the past there were relatively fewer. One uncertainty this year is the impact of tariff changes, and whether tariffs will change again in the future is also uncertain. Second, the Strait of Hormuz has had quite a big impact this year; besides affecting vessel supply, it has also generated some unexpected cargo demand - for example, demand for new-energy products has risen substantially. The third uncertainty is, of course, terminal congestion, which we have already discussed. Beyond insufficient supply, another factor behind congestion is the weather - the influence of El Nino: for example, drought-related congestion in Europe, and Panama affected by draft restrictions. In addition, there have been so many typhoons in the Pacific this year, affecting ports in the Western Pacific. All of these are uncertainties, and I believe they may all persist for some time to come. So my judgment is that at least in the second half of this year, demand should remain fairly strong, supply will stay relatively tight, and bottlenecks will persist. That is my view of the second half. Looking further out, it is hard to say for now. Overall, on the demand side, absent a major crisis, demand will keep growing - and this growth is on a high base, so any 1% or 2% growth puts great pressure on terminals and on carriers' slot capacity.</w:t>
      </w:r>
    </w:p>
    <w:p w14:paraId="26AC8BE8">
      <w:pPr>
        <w:rPr>
          <w:rFonts w:hint="default" w:ascii="Calibri" w:hAnsi="Calibri" w:cs="Calibri"/>
        </w:rPr>
      </w:pPr>
      <w:r>
        <w:rPr>
          <w:rFonts w:hint="default" w:ascii="Calibri" w:hAnsi="Calibri" w:cs="Calibri"/>
          <w:lang w:val="en-US" w:eastAsia="zh-CN"/>
        </w:rPr>
        <w:t>Q: (CICC, Liu Gangxian) Thank you, Chairman Yang. My second question is about our cost structure. Compared with the first half of 2025, there have been fairly large changes in the share of voyage costs and the share of container-shipping vessel costs. My prior understanding was that fuel prices rose this year, so voyage costs - fuel, for example - should have risen, and with ports raising tariffs, port charges should also have gone up. Yet the actual data shows that the share of voyage costs has actually declined. Is there some structural factor at play, and what measures have we taken to control costs? In addition, looking at the second half of this year and the year ahead, how much room is there for further efficiency gains and cost reduction on our side? Thank you.</w:t>
      </w:r>
    </w:p>
    <w:p w14:paraId="1B0F6F68">
      <w:pPr>
        <w:rPr>
          <w:rFonts w:hint="default" w:ascii="Calibri" w:hAnsi="Calibri" w:cs="Calibri"/>
        </w:rPr>
      </w:pPr>
      <w:r>
        <w:rPr>
          <w:rFonts w:hint="default" w:ascii="Calibri" w:hAnsi="Calibri" w:cs="Calibri"/>
          <w:lang w:val="en-US" w:eastAsia="zh-CN"/>
        </w:rPr>
        <w:t>A: (Chairman</w:t>
      </w:r>
      <w:r>
        <w:rPr>
          <w:rFonts w:hint="eastAsia" w:ascii="Calibri" w:hAnsi="Calibri" w:cs="Calibri"/>
          <w:lang w:val="en-US" w:eastAsia="zh-CN"/>
        </w:rPr>
        <w:t>,</w:t>
      </w:r>
      <w:r>
        <w:rPr>
          <w:rFonts w:hint="default" w:ascii="Calibri" w:hAnsi="Calibri" w:cs="Calibri"/>
          <w:lang w:val="en-US" w:eastAsia="zh-CN"/>
        </w:rPr>
        <w:t xml:space="preserve"> Yang Xianxiang) Let me share my view first. Bunker prices did indeed rise considerably this year, and relatively speaking, surcharges and freight rates rose with a lag. So this year, revenue growth and cost growth are not at exactly the same pace - of course the difference is small, just a slight lag; that is one aspect. In addition, our services are relatively short-haul, and shorter voyages mean that fuel accounts for a smaller proportion of the overall operation than on long-haul ocean routes - in other words, this kind of fuel price volatility has a smaller impact on our results than on other companies. Beyond that, we have also done a great deal of work on efficiency improvement.</w:t>
      </w:r>
    </w:p>
    <w:p w14:paraId="2C4006D5">
      <w:pPr>
        <w:rPr>
          <w:rFonts w:hint="default" w:ascii="Calibri" w:hAnsi="Calibri" w:cs="Calibri"/>
        </w:rPr>
      </w:pPr>
      <w:r>
        <w:rPr>
          <w:rFonts w:hint="default" w:ascii="Calibri" w:hAnsi="Calibri" w:cs="Calibri"/>
          <w:lang w:val="en-US" w:eastAsia="zh-CN"/>
        </w:rPr>
        <w:t>A: (CEO</w:t>
      </w:r>
      <w:r>
        <w:rPr>
          <w:rFonts w:hint="eastAsia" w:ascii="Calibri" w:hAnsi="Calibri" w:cs="Calibri"/>
          <w:lang w:val="en-US" w:eastAsia="zh-CN"/>
        </w:rPr>
        <w:t>,</w:t>
      </w:r>
      <w:r>
        <w:rPr>
          <w:rFonts w:hint="default" w:ascii="Calibri" w:hAnsi="Calibri" w:cs="Calibri"/>
          <w:lang w:val="en-US" w:eastAsia="zh-CN"/>
        </w:rPr>
        <w:t xml:space="preserve"> Xue Mingyuan) Thank you, Gangxian. Let me outline the major factors behind our cost growth. The first factor is charter hire. We still have more than 20 vessels on charter, and charter rates have risen compared with last year - a relatively large factor. The second is fuel, mainly the rise in bunker prices. Bunker prices surged from March onward because of the Iran conflict, so in the first half the oil price increase was a fairly significant factor. We offset it with surcharges, but with a time lag. The third is the increase in terminal handling charges, which is mainly attributable to the appreciation of the RMB. These three factors have had a relatively large impact on our cost structure. But we are always working on cost control; the company works continuously on both revenue enhancement and cost control. In particular, as digitalization goes deeper and deeper, our management granularity is extremely fine. This covers a great many areas and is probably our most important day-to-day work, but the specific measures are hard to describe in one or two sentences. Let me give you an example: every extra container rehandle avoided at a port saves a direct cost - the rehandling fee, perhaps US$50-60 - that is the direct impact. But after rehandling a box, the vessel's time in port may also be extended by a few minutes, because we load and discharge roughly 30-40 boxes per hour, and one rehandle takes 2 minutes. We now manage even the cost of those 2 minutes. We will keep working on this. It is not a breakthrough change, but we will keep improving. Thank you.</w:t>
      </w:r>
    </w:p>
    <w:p w14:paraId="085B41EC">
      <w:pPr>
        <w:rPr>
          <w:rFonts w:hint="default" w:ascii="Calibri" w:hAnsi="Calibri" w:cs="Calibri"/>
        </w:rPr>
      </w:pPr>
      <w:r>
        <w:rPr>
          <w:rFonts w:hint="default" w:ascii="Calibri" w:hAnsi="Calibri" w:cs="Calibri"/>
          <w:lang w:val="en-US" w:eastAsia="zh-CN"/>
        </w:rPr>
        <w:t>A: (Board Secretary</w:t>
      </w:r>
      <w:r>
        <w:rPr>
          <w:rFonts w:hint="eastAsia" w:ascii="Calibri" w:hAnsi="Calibri" w:cs="Calibri"/>
          <w:lang w:val="en-US" w:eastAsia="zh-CN"/>
        </w:rPr>
        <w:t>,</w:t>
      </w:r>
      <w:r>
        <w:rPr>
          <w:rFonts w:hint="default" w:ascii="Calibri" w:hAnsi="Calibri" w:cs="Calibri"/>
          <w:lang w:val="en-US" w:eastAsia="zh-CN"/>
        </w:rPr>
        <w:t xml:space="preserve"> Xue Peng) On the cost structure just discussed, let me add one point: the change in cost structure is actually not particularly large, especially the fuel component. Although shipping companies in general have faced a fairly steep rise in bunker costs, our fleet is relatively young, so the impact of the fuel price increase on us is in fact much smaller than on other companies. Moreover, since all cost items are rising - whether port handling charges or vessel charter rates - structurally speaking this has not affected us much. On chartering, we charter mostly smaller vessels, and the rate increase for the 1,000-TEU class has been smaller than that for large vessels, so the shares of these two cost items in our cost structure have not risen substantially either.</w:t>
      </w:r>
    </w:p>
    <w:p w14:paraId="1A32B8F2">
      <w:pPr>
        <w:rPr>
          <w:rFonts w:hint="default" w:ascii="Calibri" w:hAnsi="Calibri" w:cs="Calibri"/>
        </w:rPr>
      </w:pPr>
      <w:r>
        <w:rPr>
          <w:rFonts w:hint="default" w:ascii="Calibri" w:hAnsi="Calibri" w:cs="Calibri"/>
          <w:lang w:val="en-US" w:eastAsia="zh-CN"/>
        </w:rPr>
        <w:t>A: (CEO</w:t>
      </w:r>
      <w:r>
        <w:rPr>
          <w:rFonts w:hint="eastAsia" w:ascii="Calibri" w:hAnsi="Calibri" w:cs="Calibri"/>
          <w:lang w:val="en-US" w:eastAsia="zh-CN"/>
        </w:rPr>
        <w:t>,</w:t>
      </w:r>
      <w:r>
        <w:rPr>
          <w:rFonts w:hint="default" w:ascii="Calibri" w:hAnsi="Calibri" w:cs="Calibri"/>
          <w:lang w:val="en-US" w:eastAsia="zh-CN"/>
        </w:rPr>
        <w:t xml:space="preserve"> Xue Mingyuan) Let me briefly add a word on chartering: SITC's charter contracts are all short-term now, basically less than one year, so they will not affect our future operations.</w:t>
      </w:r>
    </w:p>
    <w:p w14:paraId="474FF3AB">
      <w:pPr>
        <w:rPr>
          <w:rFonts w:hint="default" w:ascii="Calibri" w:hAnsi="Calibri" w:cs="Calibri"/>
        </w:rPr>
      </w:pPr>
    </w:p>
    <w:p w14:paraId="01091B21">
      <w:pPr>
        <w:rPr>
          <w:rFonts w:hint="default" w:ascii="Calibri" w:hAnsi="Calibri" w:cs="Calibri"/>
        </w:rPr>
      </w:pPr>
      <w:r>
        <w:rPr>
          <w:rFonts w:hint="default" w:ascii="Calibri" w:hAnsi="Calibri" w:cs="Calibri"/>
        </w:rPr>
        <w:t>Q6: (HSBC, Parash) I have two questions. One is a follow-up on weekly port calls: are we considering deploying our limited capacity on higher-margin intra-regional services, and will the decline in port calls become the new normal - how should we think about that? The other question is: for the second half and next year, given that port congestion will be a persistent issue, how should we view freight rates within the region going forward? Thank you.</w:t>
      </w:r>
    </w:p>
    <w:p w14:paraId="1924E214">
      <w:pPr>
        <w:rPr>
          <w:rFonts w:hint="default" w:ascii="Calibri" w:hAnsi="Calibri" w:cs="Calibri"/>
        </w:rPr>
      </w:pPr>
      <w:r>
        <w:rPr>
          <w:rFonts w:hint="default" w:ascii="Calibri" w:hAnsi="Calibri" w:cs="Calibri"/>
          <w:lang w:val="en-US" w:eastAsia="zh-CN"/>
        </w:rPr>
        <w:t>A: (CEO</w:t>
      </w:r>
      <w:r>
        <w:rPr>
          <w:rFonts w:hint="eastAsia" w:ascii="Calibri" w:hAnsi="Calibri" w:cs="Calibri"/>
          <w:lang w:val="en-US" w:eastAsia="zh-CN"/>
        </w:rPr>
        <w:t>,</w:t>
      </w:r>
      <w:r>
        <w:rPr>
          <w:rFonts w:hint="default" w:ascii="Calibri" w:hAnsi="Calibri" w:cs="Calibri"/>
          <w:lang w:val="en-US" w:eastAsia="zh-CN"/>
        </w:rPr>
        <w:t xml:space="preserve"> Xue Mingyuan) On the first question, this adjustment in port calls was mainly the result of service optimization - we reduced services operated jointly with partners and slot-exchange services. Specifically, three slot-exchange services were cut, and jointly operated services were reduced by one per week, while our independently operated services increased. To give an example: our East India service last year combined slot exchange, joint operation and self-operated vessels - three services per week, but not all independently deployed by us. This year it became fully independent deployment, consolidated into one service, so only three port calls per week remain - a reduction of six. That is why our port calls declined. On the second question, freight rate trends, we are relatively optimistic about the second half. The weakest season every year is August and September - the quietest period for the intra-Asia market - so this is when freight rates are at their lowest, typically bottoming out and then recovering step by step from October into November. But this August and September have been rather different: ports have experienced very severe congestion, and the two recent typhoons had a very big impact, so space at every port is in short supply. Hence a contrast: freight rates in August actually rose versus July, which is unlike previous years. On that basis, we expect fourth-quarter freight rates to be basically decent. Next year's market is genuinely hard to call, but we believe that absent exceptional circumstances, we remain relatively optimistic about next year, because charter rates and fuel prices are both very high at the moment, so there should not be a wave of new service launches.</w:t>
      </w:r>
    </w:p>
    <w:p w14:paraId="1B940A1C">
      <w:pPr>
        <w:rPr>
          <w:rFonts w:hint="default" w:ascii="Calibri" w:hAnsi="Calibri" w:cs="Calibri"/>
        </w:rPr>
      </w:pPr>
    </w:p>
    <w:p w14:paraId="5C464D11">
      <w:pPr>
        <w:rPr>
          <w:rFonts w:hint="default" w:ascii="Calibri" w:hAnsi="Calibri" w:cs="Calibri"/>
        </w:rPr>
      </w:pPr>
      <w:r>
        <w:rPr>
          <w:rFonts w:hint="default" w:ascii="Calibri" w:hAnsi="Calibri" w:cs="Calibri"/>
        </w:rPr>
        <w:t>Q7: (Shenwan&amp;Hongyuan Securities</w:t>
      </w:r>
      <w:r>
        <w:rPr>
          <w:rFonts w:hint="default" w:ascii="Calibri" w:hAnsi="Calibri" w:cs="Calibri"/>
        </w:rPr>
        <w:t>, Zhang Hui) Good afternoon, and congratulations first of all on the company's pleasing first-half results. I have three questions. The first, following up on what was discussed earlier about freight rates starting to rise ahead of season in August: beyond the typhoon-driven port congestion, how do this year's volumes over this period compare with those of previous years?</w:t>
      </w:r>
    </w:p>
    <w:p w14:paraId="4715074B">
      <w:pPr>
        <w:rPr>
          <w:rFonts w:hint="default" w:ascii="Calibri" w:hAnsi="Calibri" w:cs="Calibri"/>
        </w:rPr>
      </w:pPr>
      <w:r>
        <w:rPr>
          <w:rFonts w:hint="default" w:ascii="Calibri" w:hAnsi="Calibri" w:cs="Calibri"/>
          <w:lang w:val="en-US" w:eastAsia="zh-CN"/>
        </w:rPr>
        <w:t>A: (CEO</w:t>
      </w:r>
      <w:r>
        <w:rPr>
          <w:rFonts w:hint="eastAsia" w:ascii="Calibri" w:hAnsi="Calibri" w:cs="Calibri"/>
          <w:lang w:val="en-US" w:eastAsia="zh-CN"/>
        </w:rPr>
        <w:t>,</w:t>
      </w:r>
      <w:r>
        <w:rPr>
          <w:rFonts w:hint="default" w:ascii="Calibri" w:hAnsi="Calibri" w:cs="Calibri"/>
          <w:lang w:val="en-US" w:eastAsia="zh-CN"/>
        </w:rPr>
        <w:t xml:space="preserve"> Xue Mingyuan) Thank you, Zhang Hui. We do not yet have specific data comparing August volumes with the same period of previous years; my sense is that there should be some growth. But the biggest problem right now is that many vessels are stuck waiting at ports - for example, Shanghai still has 5 days of congestion and Ningbo more than 4 days, with 80-100 vessels waiting at these ports every day. This has created a severe shortage of effective capacity, so our actual carried volumes over these two weeks are also unlikely to exceed last year's - but it is indeed very good support for freight rates.</w:t>
      </w:r>
    </w:p>
    <w:p w14:paraId="7B411041">
      <w:pPr>
        <w:rPr>
          <w:rFonts w:hint="default" w:ascii="Calibri" w:hAnsi="Calibri" w:cs="Calibri"/>
        </w:rPr>
      </w:pPr>
      <w:bookmarkStart w:id="0" w:name="OLE_LINK2"/>
      <w:r>
        <w:rPr>
          <w:rFonts w:hint="default" w:ascii="Calibri" w:hAnsi="Calibri" w:cs="Calibri"/>
          <w:lang w:val="en-US" w:eastAsia="zh-CN"/>
        </w:rPr>
        <w:t xml:space="preserve">Q: </w:t>
      </w:r>
      <w:r>
        <w:rPr>
          <w:rFonts w:hint="default" w:ascii="Calibri" w:hAnsi="Calibri" w:cs="Calibri"/>
        </w:rPr>
        <w:t>(Shenwan&amp;Hongyuan Securities,</w:t>
      </w:r>
      <w:r>
        <w:rPr>
          <w:rFonts w:hint="default" w:ascii="Calibri" w:hAnsi="Calibri" w:cs="Calibri"/>
          <w:lang w:val="en-US" w:eastAsia="zh-CN"/>
        </w:rPr>
        <w:t xml:space="preserve"> Zhang Hui) Thank you. My second question: we have recently seen Maersk actively pushing for a resumption of Red Sea transits. Given the market's concern about relatively heavy large-vessel supply pressure next year, how does management view the displacement effect on small-vessel capacity?</w:t>
      </w:r>
      <w:bookmarkEnd w:id="0"/>
    </w:p>
    <w:p w14:paraId="0591F3DF">
      <w:pPr>
        <w:rPr>
          <w:rFonts w:hint="default" w:ascii="Calibri" w:hAnsi="Calibri" w:cs="Calibri"/>
        </w:rPr>
      </w:pPr>
      <w:r>
        <w:rPr>
          <w:rFonts w:hint="default" w:ascii="Calibri" w:hAnsi="Calibri" w:cs="Calibri"/>
          <w:lang w:val="en-US" w:eastAsia="zh-CN"/>
        </w:rPr>
        <w:t>A: (Chairma</w:t>
      </w:r>
      <w:r>
        <w:rPr>
          <w:rFonts w:hint="eastAsia" w:ascii="Calibri" w:hAnsi="Calibri" w:cs="Calibri"/>
          <w:lang w:val="en-US" w:eastAsia="zh-CN"/>
        </w:rPr>
        <w:t>n,</w:t>
      </w:r>
      <w:r>
        <w:rPr>
          <w:rFonts w:hint="default" w:ascii="Calibri" w:hAnsi="Calibri" w:cs="Calibri"/>
          <w:lang w:val="en-US" w:eastAsia="zh-CN"/>
        </w:rPr>
        <w:t xml:space="preserve"> Yang Xianxiang) This is something the market has been worrying about, but I actually do not think it is a big problem. One very important reason is that demand from small ports keeps growing. Suppose the world originally had transport demand from 100 large ports; now that has become 200-300 sources of demand, and the incremental 100-200 are all small ports. With more demand, more small vessels are needed to carry it. In addition, overall, the number of small vessels being added is relatively limited - at least through next year. As everyone has seen, some small and mid-sized vessel orders were added from the second half of last year into this year, but these vessels definitely cannot be delivered next year, so supply will not increase substantially next year at the very least. So I think the pressure from large vessels on small ones is not a major concern.</w:t>
      </w:r>
    </w:p>
    <w:p w14:paraId="3382D2D0">
      <w:pPr>
        <w:rPr>
          <w:rFonts w:hint="default" w:ascii="Calibri" w:hAnsi="Calibri" w:cs="Calibri"/>
        </w:rPr>
      </w:pPr>
      <w:r>
        <w:rPr>
          <w:rFonts w:hint="default" w:ascii="Calibri" w:hAnsi="Calibri" w:cs="Calibri"/>
          <w:lang w:val="en-US" w:eastAsia="zh-CN"/>
        </w:rPr>
        <w:t xml:space="preserve">Q: </w:t>
      </w:r>
      <w:r>
        <w:rPr>
          <w:rFonts w:hint="default" w:ascii="Calibri" w:hAnsi="Calibri" w:cs="Calibri"/>
        </w:rPr>
        <w:t>(Shenwan&amp;Hongyuan Securities,</w:t>
      </w:r>
      <w:r>
        <w:rPr>
          <w:rFonts w:hint="default" w:ascii="Calibri" w:hAnsi="Calibri" w:cs="Calibri"/>
          <w:lang w:val="en-US" w:eastAsia="zh-CN"/>
        </w:rPr>
        <w:t xml:space="preserve"> Zhang Hui) Thank you, Chairman Yang. My last question is about our vessel disposal plans. Volumes keep growing every year, so there is demand for capacity, and this year we even slightly increased the number of chartered vessels. Will there therefore continue to be an ongoing vessel disposal program?</w:t>
      </w:r>
    </w:p>
    <w:p w14:paraId="1A817CEE">
      <w:pPr>
        <w:rPr>
          <w:rFonts w:hint="default" w:ascii="Calibri" w:hAnsi="Calibri" w:cs="Calibri"/>
        </w:rPr>
      </w:pPr>
      <w:r>
        <w:rPr>
          <w:rFonts w:hint="default" w:ascii="Calibri" w:hAnsi="Calibri" w:cs="Calibri"/>
          <w:lang w:val="en-US" w:eastAsia="zh-CN"/>
        </w:rPr>
        <w:t>A: (Chairman</w:t>
      </w:r>
      <w:r>
        <w:rPr>
          <w:rFonts w:hint="eastAsia" w:ascii="Calibri" w:hAnsi="Calibri" w:cs="Calibri"/>
          <w:lang w:val="en-US" w:eastAsia="zh-CN"/>
        </w:rPr>
        <w:t>,</w:t>
      </w:r>
      <w:r>
        <w:rPr>
          <w:rFonts w:hint="default" w:ascii="Calibri" w:hAnsi="Calibri" w:cs="Calibri"/>
          <w:lang w:val="en-US" w:eastAsia="zh-CN"/>
        </w:rPr>
        <w:t xml:space="preserve"> Yang Xianxiang) Yes. Since we aim to provide customers with the fastest, safest and most reliable service, vessel quality is paramount. We have roughly thirty-plus newbuildings to be delivered in the coming years, and at the same time we plan to dispose of fewer than 10 older vessels. Those ten or so older vessels consume more fuel, are quite advanced in age, and their service reliability is deteriorating, so we intend to dispose of them over the next year or two - conveniently just as new vessels enter service to replace them.</w:t>
      </w:r>
    </w:p>
    <w:p w14:paraId="77536A23">
      <w:pPr>
        <w:rPr>
          <w:rFonts w:hint="default" w:ascii="Calibri" w:hAnsi="Calibri" w:cs="Calibri"/>
        </w:rPr>
      </w:pPr>
    </w:p>
    <w:p w14:paraId="030C7A61">
      <w:pPr>
        <w:rPr>
          <w:rFonts w:hint="default" w:ascii="Calibri" w:hAnsi="Calibri" w:cs="Calibri"/>
        </w:rPr>
      </w:pPr>
      <w:r>
        <w:rPr>
          <w:rFonts w:hint="default" w:ascii="Calibri" w:hAnsi="Calibri" w:cs="Calibri"/>
        </w:rPr>
        <w:t>Q8: (China Merchants Securities, Xiao Xinchen) This is Xiao Xinchen from China Merchants Securities. I have two questions. The first: against the trend of global trade fragmentation - last year we saw the momentum of global trade developing amid the de-globalization trend strengthen - over the past two years, have we seen any major changes in cargo mix or trade patterns in the transportation process? The second question: the feeder market has been strong these past two years, and many major owners have moved into feeder operations and deployed capacity one after another. In the Asia-Pacific feeder market, how do we maintain our competitive advantage? And if competition intensifies further down the road, how will we respond?</w:t>
      </w:r>
    </w:p>
    <w:p w14:paraId="40AAD149">
      <w:pPr>
        <w:rPr>
          <w:rFonts w:hint="default" w:ascii="Calibri" w:hAnsi="Calibri" w:cs="Calibri" w:eastAsiaTheme="minorEastAsia"/>
          <w:lang w:val="en-US" w:eastAsia="zh-CN"/>
        </w:rPr>
      </w:pPr>
      <w:r>
        <w:rPr>
          <w:rFonts w:hint="default" w:ascii="Calibri" w:hAnsi="Calibri" w:cs="Calibri"/>
          <w:lang w:val="en-US" w:eastAsia="zh-CN"/>
        </w:rPr>
        <w:t>A: (Chairman</w:t>
      </w:r>
      <w:r>
        <w:rPr>
          <w:rFonts w:hint="eastAsia" w:ascii="Calibri" w:hAnsi="Calibri" w:cs="Calibri"/>
          <w:lang w:val="en-US" w:eastAsia="zh-CN"/>
        </w:rPr>
        <w:t>,</w:t>
      </w:r>
      <w:r>
        <w:rPr>
          <w:rFonts w:hint="default" w:ascii="Calibri" w:hAnsi="Calibri" w:cs="Calibri"/>
          <w:lang w:val="en-US" w:eastAsia="zh-CN"/>
        </w:rPr>
        <w:t xml:space="preserve"> Yang Xianxiang) Thank you, Ms. Xiao. On the first question, I actually do not see it as de-globalization; I see it as another form of globalization. It used to be from A to B; now it may be from A to B to C to D to E - a many-to-many change, which is actually positive for shipping. And indeed, both the pattern and the cargo mix have seen new changes. In the past, trade was dominated by consumer goods; now many supply-chain products have been added, because raw materials are produced in one place, semi-finished products in another, and final assembly somewhere else - so the requirements for supply-chain stability have actually become stricter, which is also a positive for shipping. Another change is in the cargo mix, with many new additions, mainly in machinery and equipment and in new-energy products. With factories relocating and production bases being adjusted, demand for equipment has risen sharply. At the same time, new-energy demand - especially this year, with the Strait of Hormuz situation prompting countries around the world to seek out new alternative energy sources by every possible means - has led to substantial increases in related cargo categories. On the question of feeder operations: the market never lacks competition; all companies, big or small, operate feeder vessels and compete in this region, each with its own strengths. SITC's strengths are high efficiency and high frequency, together with high-quality service for customers, making us their first choice. So going forward we will continue to adhere to these principles - being the first choice of customers, serving the best customers, enjoying a good reputation in the market, and commanding relatively higher freight rates. Thank you.</w:t>
      </w:r>
    </w:p>
    <w:p w14:paraId="657D79D5">
      <w:pPr>
        <w:rPr>
          <w:rFonts w:hint="default" w:ascii="Calibri" w:hAnsi="Calibri" w:cs="Calibri"/>
        </w:rPr>
      </w:pPr>
    </w:p>
    <w:p w14:paraId="38D1839F">
      <w:pPr>
        <w:rPr>
          <w:rFonts w:hint="default" w:ascii="Calibri" w:hAnsi="Calibri" w:cs="Calibri"/>
        </w:rPr>
      </w:pPr>
      <w:r>
        <w:rPr>
          <w:rFonts w:hint="default" w:ascii="Calibri" w:hAnsi="Calibri" w:cs="Calibri"/>
        </w:rPr>
        <w:t>Q9: (Huatai Securities, Lin Shan) I would like to add two follow-up questions. The first: Mr. Xue has repeatedly mentioned this year's efficiency gains and the re-planning of our services, and we have also seen in the news that SITC has made a lot of service adjustments this year. Were these adjustments mainly demand-driven - that is, our cargo base at the ports is strong enough that we adjusted our services - or were they made to avoid the efficiency and cost losses caused by the port congestion you mentioned? That is the first question. The second: if the outlook for next year or the year after is genuinely hard to see clearly - SITC already has a very large orderbook of newbuildings in hand - at some future point, what industry conditions would the company want to see before deciding to place new vessel orders? Thank you.</w:t>
      </w:r>
    </w:p>
    <w:p w14:paraId="7273E25A">
      <w:pPr>
        <w:rPr>
          <w:rFonts w:hint="default" w:ascii="Calibri" w:hAnsi="Calibri" w:cs="Calibri"/>
        </w:rPr>
      </w:pPr>
      <w:r>
        <w:rPr>
          <w:rFonts w:hint="default" w:ascii="Calibri" w:hAnsi="Calibri" w:cs="Calibri"/>
          <w:lang w:val="en-US" w:eastAsia="zh-CN"/>
        </w:rPr>
        <w:t>A: (Chairman</w:t>
      </w:r>
      <w:r>
        <w:rPr>
          <w:rFonts w:hint="eastAsia" w:ascii="Calibri" w:hAnsi="Calibri" w:cs="Calibri"/>
          <w:lang w:val="en-US" w:eastAsia="zh-CN"/>
        </w:rPr>
        <w:t>,</w:t>
      </w:r>
      <w:r>
        <w:rPr>
          <w:rFonts w:hint="default" w:ascii="Calibri" w:hAnsi="Calibri" w:cs="Calibri"/>
          <w:lang w:val="en-US" w:eastAsia="zh-CN"/>
        </w:rPr>
        <w:t xml:space="preserve"> Yang Xianxiang) On the efficiency adjustments, I think they were made to improve customer service. For one thing, the port congestion created new situations, so we had no choice but to adjust; another factor is that we discovered new demand, so we needed to make some adjustments and re-planning of our services. I think those are the two reasons. As for the situation next year and the year after, vessel supply is fairly clear. As to when we will place new vessel orders again, I think there are two factors. One is price: if market prices become cheap enough, I think we can buy. The other is demand: if the market needs such vessels, a slightly higher price is acceptable - as long as it is not too expensive, we can still buy. I think those are the two driving factors.</w:t>
      </w:r>
    </w:p>
    <w:p w14:paraId="21DD47E0">
      <w:pPr>
        <w:rPr>
          <w:rFonts w:hint="default" w:ascii="Calibri" w:hAnsi="Calibri" w:cs="Calibri"/>
        </w:rPr>
      </w:pPr>
      <w:r>
        <w:rPr>
          <w:rFonts w:hint="default" w:ascii="Calibri" w:hAnsi="Calibri" w:cs="Calibri"/>
          <w:lang w:val="en-US" w:eastAsia="zh-CN"/>
        </w:rPr>
        <w:t>A: (CEO</w:t>
      </w:r>
      <w:r>
        <w:rPr>
          <w:rFonts w:hint="eastAsia" w:ascii="Calibri" w:hAnsi="Calibri" w:cs="Calibri"/>
          <w:lang w:val="en-US" w:eastAsia="zh-CN"/>
        </w:rPr>
        <w:t>,</w:t>
      </w:r>
      <w:r>
        <w:rPr>
          <w:rFonts w:hint="default" w:ascii="Calibri" w:hAnsi="Calibri" w:cs="Calibri"/>
          <w:lang w:val="en-US" w:eastAsia="zh-CN"/>
        </w:rPr>
        <w:t xml:space="preserve"> Xue Mingyuan) Lin Shan has read it very accurately - it is indeed those factors. The first is that, in the past, a service I operated very well might now be hit by port congestion, so I can no longer provide schedule-reliable service to customers, and at that point we have to make certain adjustments. Of course, another very important factor is that service planning involves many permutations and combinations, and when making adjustments we also look at gains in effectiveness and efficiency. Every optimization we make is driven by port congestion and customer demand, but our ultimate purpose is still to raise the company's operating efficiency - in the end, it is service economics that drive these adjustments. However, the situation keeps changing; the changing factors may be the port congestion and customer demand just mentioned, but there are also many new developments constantly emerging. Most of our services have remained stable for many years, but some services do not have a long history. For example, as the media reported a couple of days ago, we made an adjustment to our East Malaysia and Indonesia services - that was a very significant change in customer demand, and the adjustment was very successful; a single service adjustment can bring the company several million US dollars in benefits a year.</w:t>
      </w:r>
    </w:p>
    <w:p w14:paraId="0145278D">
      <w:pPr>
        <w:rPr>
          <w:rFonts w:hint="default" w:ascii="Calibri" w:hAnsi="Calibri" w:cs="Calibri"/>
        </w:rPr>
      </w:pPr>
    </w:p>
    <w:p w14:paraId="233F5959">
      <w:pPr>
        <w:rPr>
          <w:rFonts w:hint="default" w:ascii="Calibri" w:hAnsi="Calibri" w:cs="Calibri"/>
        </w:rPr>
      </w:pPr>
      <w:r>
        <w:rPr>
          <w:rFonts w:hint="default" w:ascii="Calibri" w:hAnsi="Calibri" w:cs="Calibri"/>
        </w:rPr>
        <w:t>Q10: (Guosheng Securities, Yang Zhenhua) I have one question. One of SITC's strengths is probably our extensive footprint among the smaller ports of Southeast Asia, even first-mover advantages at some of them. So, going forward, will we take the lead in cultivating more small ports - whether through exclusive or cooperative operations - based on the terminal conditions of other undeveloped Southeast Asian ports? And how much room for development do we see in the other small or secondary ports of Southeast Asia? Is this also, as Mr. Yang just mentioned, one of SITC's proprietary advantages in keeping earnings steady if a Red Sea resumption transmits pressure from large vessels down to small ones?</w:t>
      </w:r>
    </w:p>
    <w:p w14:paraId="48FA3499">
      <w:pPr>
        <w:rPr>
          <w:rFonts w:hint="default" w:ascii="Calibri" w:hAnsi="Calibri" w:cs="Calibri"/>
        </w:rPr>
      </w:pPr>
      <w:r>
        <w:rPr>
          <w:rFonts w:hint="default" w:ascii="Calibri" w:hAnsi="Calibri" w:cs="Calibri"/>
          <w:lang w:val="en-US" w:eastAsia="zh-CN"/>
        </w:rPr>
        <w:t>A: (CEO</w:t>
      </w:r>
      <w:r>
        <w:rPr>
          <w:rFonts w:hint="eastAsia" w:ascii="Calibri" w:hAnsi="Calibri" w:cs="Calibri"/>
          <w:lang w:val="en-US" w:eastAsia="zh-CN"/>
        </w:rPr>
        <w:t>,</w:t>
      </w:r>
      <w:r>
        <w:rPr>
          <w:rFonts w:hint="default" w:ascii="Calibri" w:hAnsi="Calibri" w:cs="Calibri"/>
          <w:lang w:val="en-US" w:eastAsia="zh-CN"/>
        </w:rPr>
        <w:t xml:space="preserve"> Xue Mingyuan) OK, thank you. Mr. Yang just mentioned that demand from small ports is growing, and that is indeed the trend. We pay close attention to this in Southeast Asia; in fact, we develop a number of small ports every year. Our development model is mostly exclusive SITC development; we rarely work with partners. But the trend now is, first, that customers' cost requirements are changing, and second, that customer demand itself is indeed changing. Last year we developed Palu in Indonesia, and the year before, Batam. Going forward, there are quite a few ports we are now studying. This is indeed one of our models, and it is also a convenience brought about by SITC's independent operations and smaller-sized vessels.</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auto"/>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70A"/>
    <w:rsid w:val="00007E77"/>
    <w:rsid w:val="00007F14"/>
    <w:rsid w:val="00083DCC"/>
    <w:rsid w:val="00106B1C"/>
    <w:rsid w:val="002B470A"/>
    <w:rsid w:val="003C2A27"/>
    <w:rsid w:val="00425532"/>
    <w:rsid w:val="0058021D"/>
    <w:rsid w:val="008A60AC"/>
    <w:rsid w:val="00972502"/>
    <w:rsid w:val="009913D7"/>
    <w:rsid w:val="00B202DE"/>
    <w:rsid w:val="00DC0CA3"/>
    <w:rsid w:val="00FF3781"/>
    <w:rsid w:val="095073FA"/>
    <w:rsid w:val="0CE3003D"/>
    <w:rsid w:val="11F0177A"/>
    <w:rsid w:val="1A7D3DC7"/>
    <w:rsid w:val="311741D6"/>
    <w:rsid w:val="36FF3742"/>
    <w:rsid w:val="43D47D05"/>
    <w:rsid w:val="4AA77F21"/>
    <w:rsid w:val="64AE7D97"/>
    <w:rsid w:val="66464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Theme="minorHAnsi" w:hAnsiTheme="minorHAnsi" w:eastAsiaTheme="minorEastAsia" w:cstheme="minorBidi"/>
      <w:kern w:val="2"/>
      <w:sz w:val="21"/>
      <w:szCs w:val="22"/>
      <w:lang w:val="en-US" w:eastAsia="zh-CN" w:bidi="ar-SA"/>
      <w14:ligatures w14:val="none"/>
    </w:rPr>
  </w:style>
  <w:style w:type="paragraph" w:styleId="2">
    <w:name w:val="heading 1"/>
    <w:basedOn w:val="1"/>
    <w:next w:val="1"/>
    <w:link w:val="18"/>
    <w:qFormat/>
    <w:uiPriority w:val="9"/>
    <w:pPr>
      <w:keepNext/>
      <w:keepLines/>
      <w:spacing w:before="480" w:after="80" w:line="278" w:lineRule="auto"/>
      <w:jc w:val="left"/>
      <w:outlineLvl w:val="0"/>
    </w:pPr>
    <w:rPr>
      <w:rFonts w:asciiTheme="majorHAnsi" w:hAnsiTheme="majorHAnsi" w:eastAsiaTheme="majorEastAsia" w:cstheme="majorBidi"/>
      <w:color w:val="104862" w:themeColor="accent1" w:themeShade="BF"/>
      <w:sz w:val="48"/>
      <w:szCs w:val="48"/>
      <w14:ligatures w14:val="standardContextual"/>
    </w:rPr>
  </w:style>
  <w:style w:type="paragraph" w:styleId="3">
    <w:name w:val="heading 2"/>
    <w:basedOn w:val="1"/>
    <w:next w:val="1"/>
    <w:link w:val="19"/>
    <w:semiHidden/>
    <w:unhideWhenUsed/>
    <w:qFormat/>
    <w:uiPriority w:val="9"/>
    <w:pPr>
      <w:keepNext/>
      <w:keepLines/>
      <w:spacing w:before="160" w:after="80" w:line="278" w:lineRule="auto"/>
      <w:jc w:val="left"/>
      <w:outlineLvl w:val="1"/>
    </w:pPr>
    <w:rPr>
      <w:rFonts w:asciiTheme="majorHAnsi" w:hAnsiTheme="majorHAnsi" w:eastAsiaTheme="majorEastAsia" w:cstheme="majorBidi"/>
      <w:color w:val="104862" w:themeColor="accent1" w:themeShade="BF"/>
      <w:sz w:val="40"/>
      <w:szCs w:val="40"/>
      <w14:ligatures w14:val="standardContextual"/>
    </w:rPr>
  </w:style>
  <w:style w:type="paragraph" w:styleId="4">
    <w:name w:val="heading 3"/>
    <w:basedOn w:val="1"/>
    <w:next w:val="1"/>
    <w:link w:val="20"/>
    <w:semiHidden/>
    <w:unhideWhenUsed/>
    <w:qFormat/>
    <w:uiPriority w:val="9"/>
    <w:pPr>
      <w:keepNext/>
      <w:keepLines/>
      <w:spacing w:before="160" w:after="80" w:line="278" w:lineRule="auto"/>
      <w:jc w:val="left"/>
      <w:outlineLvl w:val="2"/>
    </w:pPr>
    <w:rPr>
      <w:rFonts w:asciiTheme="majorHAnsi" w:hAnsiTheme="majorHAnsi" w:eastAsiaTheme="majorEastAsia" w:cstheme="majorBidi"/>
      <w:color w:val="104862" w:themeColor="accent1" w:themeShade="BF"/>
      <w:sz w:val="32"/>
      <w:szCs w:val="32"/>
      <w14:ligatures w14:val="standardContextual"/>
    </w:rPr>
  </w:style>
  <w:style w:type="paragraph" w:styleId="5">
    <w:name w:val="heading 4"/>
    <w:basedOn w:val="1"/>
    <w:next w:val="1"/>
    <w:link w:val="21"/>
    <w:semiHidden/>
    <w:unhideWhenUsed/>
    <w:qFormat/>
    <w:uiPriority w:val="9"/>
    <w:pPr>
      <w:keepNext/>
      <w:keepLines/>
      <w:spacing w:before="80" w:after="40" w:line="278" w:lineRule="auto"/>
      <w:jc w:val="left"/>
      <w:outlineLvl w:val="3"/>
    </w:pPr>
    <w:rPr>
      <w:rFonts w:cstheme="majorBidi"/>
      <w:color w:val="104862" w:themeColor="accent1" w:themeShade="BF"/>
      <w:sz w:val="28"/>
      <w:szCs w:val="28"/>
      <w14:ligatures w14:val="standardContextual"/>
    </w:rPr>
  </w:style>
  <w:style w:type="paragraph" w:styleId="6">
    <w:name w:val="heading 5"/>
    <w:basedOn w:val="1"/>
    <w:next w:val="1"/>
    <w:link w:val="22"/>
    <w:semiHidden/>
    <w:unhideWhenUsed/>
    <w:qFormat/>
    <w:uiPriority w:val="9"/>
    <w:pPr>
      <w:keepNext/>
      <w:keepLines/>
      <w:spacing w:before="80" w:after="40" w:line="278" w:lineRule="auto"/>
      <w:jc w:val="left"/>
      <w:outlineLvl w:val="4"/>
    </w:pPr>
    <w:rPr>
      <w:rFonts w:cstheme="majorBidi"/>
      <w:color w:val="104862" w:themeColor="accent1" w:themeShade="BF"/>
      <w:sz w:val="24"/>
      <w:szCs w:val="24"/>
      <w14:ligatures w14:val="standardContextual"/>
    </w:rPr>
  </w:style>
  <w:style w:type="paragraph" w:styleId="7">
    <w:name w:val="heading 6"/>
    <w:basedOn w:val="1"/>
    <w:next w:val="1"/>
    <w:link w:val="23"/>
    <w:semiHidden/>
    <w:unhideWhenUsed/>
    <w:qFormat/>
    <w:uiPriority w:val="9"/>
    <w:pPr>
      <w:keepNext/>
      <w:keepLines/>
      <w:spacing w:before="40" w:line="278" w:lineRule="auto"/>
      <w:jc w:val="left"/>
      <w:outlineLvl w:val="5"/>
    </w:pPr>
    <w:rPr>
      <w:rFonts w:cstheme="majorBidi"/>
      <w:b/>
      <w:bCs/>
      <w:color w:val="104862" w:themeColor="accent1" w:themeShade="BF"/>
      <w:sz w:val="22"/>
      <w:szCs w:val="24"/>
      <w14:ligatures w14:val="standardContextual"/>
    </w:rPr>
  </w:style>
  <w:style w:type="paragraph" w:styleId="8">
    <w:name w:val="heading 7"/>
    <w:basedOn w:val="1"/>
    <w:next w:val="1"/>
    <w:link w:val="24"/>
    <w:semiHidden/>
    <w:unhideWhenUsed/>
    <w:qFormat/>
    <w:uiPriority w:val="9"/>
    <w:pPr>
      <w:keepNext/>
      <w:keepLines/>
      <w:spacing w:before="40" w:line="278" w:lineRule="auto"/>
      <w:jc w:val="left"/>
      <w:outlineLvl w:val="6"/>
    </w:pPr>
    <w:rPr>
      <w:rFonts w:cstheme="majorBidi"/>
      <w:b/>
      <w:bCs/>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pacing w:line="278" w:lineRule="auto"/>
      <w:jc w:val="left"/>
      <w:outlineLvl w:val="7"/>
    </w:pPr>
    <w:rPr>
      <w:rFonts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paragraph" w:styleId="10">
    <w:name w:val="heading 9"/>
    <w:basedOn w:val="1"/>
    <w:next w:val="1"/>
    <w:link w:val="26"/>
    <w:semiHidden/>
    <w:unhideWhenUsed/>
    <w:qFormat/>
    <w:uiPriority w:val="9"/>
    <w:pPr>
      <w:keepNext/>
      <w:keepLines/>
      <w:spacing w:line="278" w:lineRule="auto"/>
      <w:jc w:val="left"/>
      <w:outlineLvl w:val="8"/>
    </w:pPr>
    <w:rPr>
      <w:rFonts w:eastAsiaTheme="majorEastAsia" w:cstheme="majorBidi"/>
      <w:color w:val="595959" w:themeColor="text1" w:themeTint="A6"/>
      <w:sz w:val="22"/>
      <w:szCs w:val="24"/>
      <w14:textFill>
        <w14:solidFill>
          <w14:schemeClr w14:val="tx1">
            <w14:lumMod w14:val="65000"/>
            <w14:lumOff w14:val="35000"/>
          </w14:schemeClr>
        </w14:solidFill>
      </w14:textFill>
      <w14:ligatures w14:val="standardContextual"/>
    </w:rPr>
  </w:style>
  <w:style w:type="character" w:default="1" w:styleId="17">
    <w:name w:val="Default Paragraph Font"/>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uiPriority w:val="99"/>
    <w:pPr>
      <w:jc w:val="left"/>
    </w:pPr>
  </w:style>
  <w:style w:type="paragraph" w:styleId="12">
    <w:name w:val="footer"/>
    <w:basedOn w:val="1"/>
    <w:link w:val="37"/>
    <w:unhideWhenUsed/>
    <w:qFormat/>
    <w:uiPriority w:val="99"/>
    <w:pPr>
      <w:tabs>
        <w:tab w:val="center" w:pos="4153"/>
        <w:tab w:val="right" w:pos="8306"/>
      </w:tabs>
      <w:snapToGrid w:val="0"/>
      <w:spacing w:after="160"/>
      <w:jc w:val="left"/>
    </w:pPr>
    <w:rPr>
      <w:sz w:val="18"/>
      <w:szCs w:val="18"/>
      <w14:ligatures w14:val="standardContextual"/>
    </w:rPr>
  </w:style>
  <w:style w:type="paragraph" w:styleId="13">
    <w:name w:val="header"/>
    <w:basedOn w:val="1"/>
    <w:link w:val="36"/>
    <w:unhideWhenUsed/>
    <w:qFormat/>
    <w:uiPriority w:val="99"/>
    <w:pPr>
      <w:tabs>
        <w:tab w:val="center" w:pos="4153"/>
        <w:tab w:val="right" w:pos="8306"/>
      </w:tabs>
      <w:snapToGrid w:val="0"/>
      <w:spacing w:after="160"/>
      <w:jc w:val="center"/>
    </w:pPr>
    <w:rPr>
      <w:sz w:val="18"/>
      <w:szCs w:val="18"/>
      <w14:ligatures w14:val="standardContextual"/>
    </w:rPr>
  </w:style>
  <w:style w:type="paragraph" w:styleId="14">
    <w:name w:val="Subtitle"/>
    <w:basedOn w:val="1"/>
    <w:next w:val="1"/>
    <w:link w:val="28"/>
    <w:qFormat/>
    <w:uiPriority w:val="11"/>
    <w:pPr>
      <w:spacing w:after="160" w:line="278" w:lineRule="auto"/>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14:ligatures w14:val="standardContextual"/>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14:ligatures w14:val="standardContextual"/>
    </w:rPr>
  </w:style>
  <w:style w:type="character" w:customStyle="1" w:styleId="18">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19">
    <w:name w:val="标题 2 字符"/>
    <w:basedOn w:val="17"/>
    <w:link w:val="3"/>
    <w:semiHidden/>
    <w:uiPriority w:val="9"/>
    <w:rPr>
      <w:rFonts w:asciiTheme="majorHAnsi" w:hAnsiTheme="majorHAnsi" w:eastAsiaTheme="majorEastAsia" w:cstheme="majorBidi"/>
      <w:color w:val="104862" w:themeColor="accent1" w:themeShade="BF"/>
      <w:sz w:val="40"/>
      <w:szCs w:val="40"/>
    </w:rPr>
  </w:style>
  <w:style w:type="character" w:customStyle="1" w:styleId="20">
    <w:name w:val="标题 3 字符"/>
    <w:basedOn w:val="17"/>
    <w:link w:val="4"/>
    <w:semiHidden/>
    <w:uiPriority w:val="9"/>
    <w:rPr>
      <w:rFonts w:asciiTheme="majorHAnsi" w:hAnsiTheme="majorHAnsi" w:eastAsiaTheme="majorEastAsia" w:cstheme="majorBidi"/>
      <w:color w:val="104862" w:themeColor="accent1" w:themeShade="BF"/>
      <w:sz w:val="32"/>
      <w:szCs w:val="32"/>
    </w:rPr>
  </w:style>
  <w:style w:type="character" w:customStyle="1" w:styleId="21">
    <w:name w:val="标题 4 字符"/>
    <w:basedOn w:val="17"/>
    <w:link w:val="5"/>
    <w:semiHidden/>
    <w:uiPriority w:val="9"/>
    <w:rPr>
      <w:rFonts w:cstheme="majorBidi"/>
      <w:color w:val="104862" w:themeColor="accent1" w:themeShade="BF"/>
      <w:sz w:val="28"/>
      <w:szCs w:val="28"/>
    </w:rPr>
  </w:style>
  <w:style w:type="character" w:customStyle="1" w:styleId="22">
    <w:name w:val="标题 5 字符"/>
    <w:basedOn w:val="17"/>
    <w:link w:val="6"/>
    <w:semiHidden/>
    <w:qFormat/>
    <w:uiPriority w:val="9"/>
    <w:rPr>
      <w:rFonts w:cstheme="majorBidi"/>
      <w:color w:val="104862" w:themeColor="accent1" w:themeShade="BF"/>
      <w:sz w:val="24"/>
    </w:rPr>
  </w:style>
  <w:style w:type="character" w:customStyle="1" w:styleId="23">
    <w:name w:val="标题 6 字符"/>
    <w:basedOn w:val="17"/>
    <w:link w:val="7"/>
    <w:semiHidden/>
    <w:qFormat/>
    <w:uiPriority w:val="9"/>
    <w:rPr>
      <w:rFonts w:cstheme="majorBidi"/>
      <w:b/>
      <w:bCs/>
      <w:color w:val="104862" w:themeColor="accent1" w:themeShade="BF"/>
    </w:rPr>
  </w:style>
  <w:style w:type="character" w:customStyle="1" w:styleId="24">
    <w:name w:val="标题 7 字符"/>
    <w:basedOn w:val="17"/>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line="278" w:lineRule="auto"/>
      <w:jc w:val="center"/>
    </w:pPr>
    <w:rPr>
      <w:i/>
      <w:iCs/>
      <w:color w:val="404040" w:themeColor="text1" w:themeTint="BF"/>
      <w:sz w:val="22"/>
      <w:szCs w:val="24"/>
      <w14:textFill>
        <w14:solidFill>
          <w14:schemeClr w14:val="tx1">
            <w14:lumMod w14:val="75000"/>
            <w14:lumOff w14:val="25000"/>
          </w14:schemeClr>
        </w14:solidFill>
      </w14:textFill>
      <w14:ligatures w14:val="standardContextua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spacing w:after="160" w:line="278" w:lineRule="auto"/>
      <w:ind w:left="720"/>
      <w:contextualSpacing/>
      <w:jc w:val="left"/>
    </w:pPr>
    <w:rPr>
      <w:sz w:val="22"/>
      <w:szCs w:val="24"/>
      <w14:ligatures w14:val="standardContextual"/>
    </w:rPr>
  </w:style>
  <w:style w:type="character" w:customStyle="1" w:styleId="32">
    <w:name w:val="Intense Emphasis"/>
    <w:basedOn w:val="17"/>
    <w:qFormat/>
    <w:uiPriority w:val="21"/>
    <w:rPr>
      <w:i/>
      <w:iCs/>
      <w:color w:val="104862" w:themeColor="accent1" w:themeShade="BF"/>
    </w:rPr>
  </w:style>
  <w:style w:type="paragraph" w:styleId="33">
    <w:name w:val="Intense Quote"/>
    <w:basedOn w:val="1"/>
    <w:next w:val="1"/>
    <w:link w:val="34"/>
    <w:qFormat/>
    <w:uiPriority w:val="30"/>
    <w:pPr>
      <w:pBdr>
        <w:top w:val="single" w:color="0F4761" w:themeColor="accent1" w:themeShade="BF" w:sz="4" w:space="10"/>
        <w:bottom w:val="single" w:color="0F4761" w:themeColor="accent1" w:themeShade="BF" w:sz="4" w:space="10"/>
      </w:pBdr>
      <w:spacing w:before="360" w:after="360" w:line="278" w:lineRule="auto"/>
      <w:ind w:left="864" w:right="864"/>
      <w:jc w:val="center"/>
    </w:pPr>
    <w:rPr>
      <w:i/>
      <w:iCs/>
      <w:color w:val="104862" w:themeColor="accent1" w:themeShade="BF"/>
      <w:sz w:val="22"/>
      <w:szCs w:val="24"/>
      <w14:ligatures w14:val="standardContextual"/>
    </w:rPr>
  </w:style>
  <w:style w:type="character" w:customStyle="1" w:styleId="34">
    <w:name w:val="明显引用 字符"/>
    <w:basedOn w:val="17"/>
    <w:link w:val="33"/>
    <w:uiPriority w:val="30"/>
    <w:rPr>
      <w:i/>
      <w:iCs/>
      <w:color w:val="104862" w:themeColor="accent1" w:themeShade="BF"/>
    </w:rPr>
  </w:style>
  <w:style w:type="character" w:customStyle="1" w:styleId="35">
    <w:name w:val="Intense Reference"/>
    <w:basedOn w:val="17"/>
    <w:qFormat/>
    <w:uiPriority w:val="32"/>
    <w:rPr>
      <w:b/>
      <w:bCs/>
      <w:smallCaps/>
      <w:color w:val="104862" w:themeColor="accent1" w:themeShade="BF"/>
      <w:spacing w:val="5"/>
    </w:rPr>
  </w:style>
  <w:style w:type="character" w:customStyle="1" w:styleId="36">
    <w:name w:val="页眉 字符"/>
    <w:basedOn w:val="17"/>
    <w:link w:val="13"/>
    <w:qFormat/>
    <w:uiPriority w:val="99"/>
    <w:rPr>
      <w:sz w:val="18"/>
      <w:szCs w:val="18"/>
    </w:rPr>
  </w:style>
  <w:style w:type="character" w:customStyle="1" w:styleId="37">
    <w:name w:val="页脚 字符"/>
    <w:basedOn w:val="17"/>
    <w:link w:val="1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8</Pages>
  <Words>4662</Words>
  <Characters>23266</Characters>
  <Lines>77</Lines>
  <Paragraphs>21</Paragraphs>
  <TotalTime>0</TotalTime>
  <ScaleCrop>false</ScaleCrop>
  <LinksUpToDate>false</LinksUpToDate>
  <CharactersWithSpaces>27992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2026-08-19T06:57:00Z</dcterms:created>
  <dc:creator>LUKX/SITC JPA</dc:creator>
  <cp:lastModifiedBy>SITC-Leon</cp:lastModifiedBy>
  <dcterms:modified xsi:type="dcterms:W3CDTF">2026-09-03T01:42:32Z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eyJoZGlkIjoiNmJmYzI1ZTZhMTg4ODY2NWZjN2U3ZWJmMDc3MzZkODIiLCJ1c2VySWQiOiI3NDM2NDM4OTgifQ==</vt:lpwstr>
  </property>
  <property fmtid="{D5CDD505-2E9C-101B-9397-08002B2CF9AE}" pid="3" name="KSOProductBuildVer">
    <vt:lpwstr>2052-12.1.0.28043</vt:lpwstr>
  </property>
  <property fmtid="{D5CDD505-2E9C-101B-9397-08002B2CF9AE}" pid="4" name="ICV">
    <vt:lpwstr>060A280890734D5DA332B0F1974E86A7_12</vt:lpwstr>
  </property>
</Properties>
</file>